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outlineLvl w:val="9"/>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废止政策性文件目录</w:t>
      </w:r>
    </w:p>
    <w:tbl>
      <w:tblPr>
        <w:tblStyle w:val="4"/>
        <w:tblW w:w="14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452"/>
        <w:gridCol w:w="2242"/>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序号</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名称</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发布单位</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sz w:val="28"/>
                <w:szCs w:val="28"/>
                <w:vertAlign w:val="baseline"/>
                <w:lang w:eastAsia="zh-CN"/>
              </w:rPr>
            </w:pPr>
            <w:r>
              <w:rPr>
                <w:rFonts w:hint="eastAsia" w:ascii="黑体" w:hAnsi="黑体" w:eastAsia="黑体" w:cs="黑体"/>
                <w:b w:val="0"/>
                <w:bCs w:val="0"/>
                <w:sz w:val="28"/>
                <w:szCs w:val="28"/>
                <w:vertAlign w:val="baseline"/>
                <w:lang w:eastAsia="zh-CN"/>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省民政厅关于做好接收安置滞留军队伤病残退役士兵的通知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黑民安〔2001〕3号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省退伍军人安置办公室关于严格审查认真处理退伍军人补功假功问题的通知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省退伍军人安置办公室</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黑退安〔1988〕1号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省民政厅关于家居农村的现役义务兵优待问题的补充通知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黑民优字</w:t>
            </w:r>
            <w:r>
              <w:rPr>
                <w:rFonts w:hint="eastAsia" w:ascii="仿宋_GB2312" w:hAnsi="仿宋_GB2312" w:eastAsia="仿宋_GB2312" w:cs="仿宋_GB2312"/>
                <w:sz w:val="24"/>
                <w:szCs w:val="24"/>
                <w:lang w:val="en-US" w:eastAsia="zh-CN"/>
              </w:rPr>
              <w:t>〔84〕</w:t>
            </w:r>
            <w:r>
              <w:rPr>
                <w:rFonts w:hint="default" w:ascii="仿宋_GB2312" w:hAnsi="仿宋_GB2312" w:eastAsia="仿宋_GB2312" w:cs="仿宋_GB2312"/>
                <w:sz w:val="24"/>
                <w:szCs w:val="24"/>
                <w:lang w:val="en-US" w:eastAsia="zh-CN"/>
              </w:rPr>
              <w:t>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sz w:val="24"/>
              </w:rPr>
              <mc:AlternateContent>
                <mc:Choice Requires="wps">
                  <w:drawing>
                    <wp:anchor distT="0" distB="0" distL="114300" distR="114300" simplePos="0" relativeHeight="251658240" behindDoc="0" locked="0" layoutInCell="1" allowOverlap="1">
                      <wp:simplePos x="0" y="0"/>
                      <wp:positionH relativeFrom="column">
                        <wp:posOffset>-601980</wp:posOffset>
                      </wp:positionH>
                      <wp:positionV relativeFrom="paragraph">
                        <wp:posOffset>173355</wp:posOffset>
                      </wp:positionV>
                      <wp:extent cx="487045" cy="657860"/>
                      <wp:effectExtent l="0" t="0" r="0" b="0"/>
                      <wp:wrapNone/>
                      <wp:docPr id="3" name="文本框 3"/>
                      <wp:cNvGraphicFramePr/>
                      <a:graphic xmlns:a="http://schemas.openxmlformats.org/drawingml/2006/main">
                        <a:graphicData uri="http://schemas.microsoft.com/office/word/2010/wordprocessingShape">
                          <wps:wsp>
                            <wps:cNvSpPr txBox="1"/>
                            <wps:spPr>
                              <a:xfrm>
                                <a:off x="288925" y="3103245"/>
                                <a:ext cx="487045" cy="657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 xml:space="preserve"> 3 </w:t>
                                  </w:r>
                                  <w:r>
                                    <w:rPr>
                                      <w:rFonts w:hint="eastAsia" w:ascii="楷体_GB2312" w:hAnsi="楷体_GB2312" w:eastAsia="楷体_GB2312" w:cs="楷体_GB2312"/>
                                      <w:sz w:val="24"/>
                                      <w:szCs w:val="24"/>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pt;margin-top:13.65pt;height:51.8pt;width:38.35pt;z-index:251658240;mso-width-relative:page;mso-height-relative:page;" filled="f" stroked="f" coordsize="21600,21600" o:gfxdata="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i3iI9kAAAAKAQAADwAAAAAA&#10;AAABACAAAAAiAAAAZHJzL2Rvd25yZXYueG1sUEsBAhQAFAAAAAgAh07iQF9SXiVLAgAAcgQAAA4A&#10;AAAAAAAAAQAgAAAAKAEAAGRycy9lMm9Eb2MueG1sUEsFBgAAAAAGAAYAWQEAAOUFAAAAAA==&#10;">
                      <v:fill on="f" focussize="0,0"/>
                      <v:stroke on="f" weight="0.5pt"/>
                      <v:imagedata o:title=""/>
                      <o:lock v:ext="edit" aspectratio="f"/>
                      <v:textbox style="layout-flow:vertical-ideographic;">
                        <w:txbxContent>
                          <w:p>
                            <w:pP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 xml:space="preserve"> 3 </w:t>
                            </w:r>
                            <w:r>
                              <w:rPr>
                                <w:rFonts w:hint="eastAsia" w:ascii="楷体_GB2312" w:hAnsi="楷体_GB2312" w:eastAsia="楷体_GB2312" w:cs="楷体_GB2312"/>
                                <w:sz w:val="24"/>
                                <w:szCs w:val="24"/>
                                <w:lang w:eastAsia="zh-CN"/>
                              </w:rPr>
                              <w:t>—</w:t>
                            </w:r>
                          </w:p>
                        </w:txbxContent>
                      </v:textbox>
                    </v:shape>
                  </w:pict>
                </mc:Fallback>
              </mc:AlternateContent>
            </w:r>
            <w:r>
              <w:rPr>
                <w:rFonts w:hint="eastAsia" w:ascii="仿宋_GB2312" w:hAnsi="仿宋_GB2312" w:eastAsia="仿宋_GB2312" w:cs="仿宋_GB2312"/>
                <w:sz w:val="24"/>
                <w:szCs w:val="24"/>
                <w:lang w:val="en-US" w:eastAsia="zh-CN"/>
              </w:rPr>
              <w:t>4</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省民政厅关于对残废抚恤工作实行分级管理的通知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黑民优字</w:t>
            </w:r>
            <w:r>
              <w:rPr>
                <w:rFonts w:hint="eastAsia" w:ascii="仿宋_GB2312" w:hAnsi="仿宋_GB2312" w:eastAsia="仿宋_GB2312" w:cs="仿宋_GB2312"/>
                <w:sz w:val="24"/>
                <w:szCs w:val="24"/>
                <w:lang w:val="en-US" w:eastAsia="zh-CN"/>
              </w:rPr>
              <w:t>〔85〕</w:t>
            </w:r>
            <w:r>
              <w:rPr>
                <w:rFonts w:hint="default" w:ascii="仿宋_GB2312" w:hAnsi="仿宋_GB2312" w:eastAsia="仿宋_GB2312" w:cs="仿宋_GB2312"/>
                <w:sz w:val="24"/>
                <w:szCs w:val="24"/>
                <w:lang w:val="en-US" w:eastAsia="zh-CN"/>
              </w:rPr>
              <w:t>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w:t>
            </w: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财政厅关于对革命烈士家属、因公牺牲军人家属、病故军人家属发给定期抚恤金的通知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黑民优字</w:t>
            </w:r>
            <w:r>
              <w:rPr>
                <w:rFonts w:hint="eastAsia" w:ascii="仿宋_GB2312" w:hAnsi="仿宋_GB2312" w:eastAsia="仿宋_GB2312" w:cs="仿宋_GB2312"/>
                <w:sz w:val="24"/>
                <w:szCs w:val="24"/>
                <w:lang w:val="en-US" w:eastAsia="zh-CN"/>
              </w:rPr>
              <w:t>〔85〕</w:t>
            </w:r>
            <w:r>
              <w:rPr>
                <w:rFonts w:hint="default" w:ascii="仿宋_GB2312" w:hAnsi="仿宋_GB2312" w:eastAsia="仿宋_GB2312" w:cs="仿宋_GB2312"/>
                <w:sz w:val="24"/>
                <w:szCs w:val="24"/>
                <w:lang w:val="en-US" w:eastAsia="zh-CN"/>
              </w:rPr>
              <w:t>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省民政厅关于认真落实优抚政策的通知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黑民访字</w:t>
            </w:r>
            <w:r>
              <w:rPr>
                <w:rFonts w:hint="eastAsia" w:ascii="仿宋_GB2312" w:hAnsi="仿宋_GB2312" w:eastAsia="仿宋_GB2312" w:cs="仿宋_GB2312"/>
                <w:sz w:val="24"/>
                <w:szCs w:val="24"/>
                <w:lang w:val="en-US" w:eastAsia="zh-CN"/>
              </w:rPr>
              <w:t>〔86〕</w:t>
            </w:r>
            <w:r>
              <w:rPr>
                <w:rFonts w:hint="default" w:ascii="仿宋_GB2312" w:hAnsi="仿宋_GB2312" w:eastAsia="仿宋_GB2312" w:cs="仿宋_GB2312"/>
                <w:sz w:val="24"/>
                <w:szCs w:val="24"/>
                <w:lang w:val="en-US" w:eastAsia="zh-CN"/>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省民政厅关于在全省城乡建立拥军优属网络的通知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黑民优字</w:t>
            </w:r>
            <w:r>
              <w:rPr>
                <w:rFonts w:hint="eastAsia" w:ascii="仿宋_GB2312" w:hAnsi="仿宋_GB2312" w:eastAsia="仿宋_GB2312" w:cs="仿宋_GB2312"/>
                <w:sz w:val="24"/>
                <w:szCs w:val="24"/>
                <w:lang w:val="en-US" w:eastAsia="zh-CN"/>
              </w:rPr>
              <w:t>〔87〕</w:t>
            </w:r>
            <w:r>
              <w:rPr>
                <w:rFonts w:hint="default" w:ascii="仿宋_GB2312" w:hAnsi="仿宋_GB2312" w:eastAsia="仿宋_GB2312" w:cs="仿宋_GB2312"/>
                <w:sz w:val="24"/>
                <w:szCs w:val="24"/>
                <w:lang w:val="en-US" w:eastAsia="zh-CN"/>
              </w:rPr>
              <w:t>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省民政厅关于认真学习贯彻《军人抚恤优待条例》的通知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〔1988〕</w:t>
            </w:r>
            <w:r>
              <w:rPr>
                <w:rFonts w:hint="default" w:ascii="仿宋_GB2312" w:hAnsi="仿宋_GB2312" w:eastAsia="仿宋_GB2312" w:cs="仿宋_GB2312"/>
                <w:sz w:val="24"/>
                <w:szCs w:val="24"/>
                <w:lang w:val="en-US" w:eastAsia="zh-CN"/>
              </w:rPr>
              <w:t>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省民政厅转发民政部《革命伤残军人评定伤残等级的条件》的通知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〔1989〕</w:t>
            </w:r>
            <w:r>
              <w:rPr>
                <w:rFonts w:hint="default" w:ascii="仿宋_GB2312" w:hAnsi="仿宋_GB2312" w:eastAsia="仿宋_GB2312" w:cs="仿宋_GB2312"/>
                <w:sz w:val="24"/>
                <w:szCs w:val="24"/>
                <w:lang w:val="en-US" w:eastAsia="zh-CN"/>
              </w:rPr>
              <w:t>146号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省民政厅关于换发革命伤残人员证件的通知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〔1989〕</w:t>
            </w:r>
            <w:r>
              <w:rPr>
                <w:rFonts w:hint="default" w:ascii="仿宋_GB2312" w:hAnsi="仿宋_GB2312" w:eastAsia="仿宋_GB2312" w:cs="仿宋_GB2312"/>
                <w:sz w:val="24"/>
                <w:szCs w:val="24"/>
                <w:lang w:val="en-US" w:eastAsia="zh-CN"/>
              </w:rPr>
              <w:t>251号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w:t>
            </w: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财政厅关于提高在乡复员军人定期定量补助标准和扩大补助面的通知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黑民财</w:t>
            </w:r>
            <w:r>
              <w:rPr>
                <w:rFonts w:hint="eastAsia" w:ascii="仿宋_GB2312" w:hAnsi="仿宋_GB2312" w:eastAsia="仿宋_GB2312" w:cs="仿宋_GB2312"/>
                <w:sz w:val="24"/>
                <w:szCs w:val="24"/>
                <w:lang w:val="en-US" w:eastAsia="zh-CN"/>
              </w:rPr>
              <w:t>〔1992〕</w:t>
            </w:r>
            <w:r>
              <w:rPr>
                <w:rFonts w:hint="default" w:ascii="仿宋_GB2312" w:hAnsi="仿宋_GB2312" w:eastAsia="仿宋_GB2312" w:cs="仿宋_GB2312"/>
                <w:sz w:val="24"/>
                <w:szCs w:val="24"/>
                <w:lang w:val="en-US" w:eastAsia="zh-CN"/>
              </w:rPr>
              <w:t>173号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省民政厅关于制发《黑龙江省城镇义务兵家属优待证明书》的通知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〔1993〕</w:t>
            </w:r>
            <w:r>
              <w:rPr>
                <w:rFonts w:hint="default" w:ascii="仿宋_GB2312" w:hAnsi="仿宋_GB2312" w:eastAsia="仿宋_GB2312" w:cs="仿宋_GB2312"/>
                <w:sz w:val="24"/>
                <w:szCs w:val="24"/>
                <w:lang w:val="en-US" w:eastAsia="zh-CN"/>
              </w:rPr>
              <w:t>112号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w:t>
            </w: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财政厅关于下发《黑龙江省城镇义务兵家属优待金筹集、发放、管理具体办法》的通知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〔1994〕</w:t>
            </w:r>
            <w:r>
              <w:rPr>
                <w:rFonts w:hint="default" w:ascii="仿宋_GB2312" w:hAnsi="仿宋_GB2312" w:eastAsia="仿宋_GB2312" w:cs="仿宋_GB2312"/>
                <w:sz w:val="24"/>
                <w:szCs w:val="24"/>
                <w:lang w:val="en-US" w:eastAsia="zh-CN"/>
              </w:rPr>
              <w:t>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省民政厅、省财政厅、省政府征兵办公室关于城镇义务兵家属优待金发放有关问题的通知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〔2003〕</w:t>
            </w:r>
            <w:r>
              <w:rPr>
                <w:rFonts w:hint="default" w:ascii="仿宋_GB2312" w:hAnsi="仿宋_GB2312" w:eastAsia="仿宋_GB2312" w:cs="仿宋_GB2312"/>
                <w:sz w:val="24"/>
                <w:szCs w:val="24"/>
                <w:lang w:val="en-US" w:eastAsia="zh-CN"/>
              </w:rPr>
              <w:t>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关于提高特、一等革命伤残人员护理费标准的通知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黑民财</w:t>
            </w:r>
            <w:r>
              <w:rPr>
                <w:rFonts w:hint="eastAsia" w:ascii="仿宋_GB2312" w:hAnsi="仿宋_GB2312" w:eastAsia="仿宋_GB2312" w:cs="仿宋_GB2312"/>
                <w:sz w:val="24"/>
                <w:szCs w:val="24"/>
                <w:lang w:val="en-US" w:eastAsia="zh-CN"/>
              </w:rPr>
              <w:t>〔1996〕</w:t>
            </w:r>
            <w:r>
              <w:rPr>
                <w:rFonts w:hint="default" w:ascii="仿宋_GB2312" w:hAnsi="仿宋_GB2312" w:eastAsia="仿宋_GB2312" w:cs="仿宋_GB2312"/>
                <w:sz w:val="24"/>
                <w:szCs w:val="24"/>
                <w:lang w:val="en-US" w:eastAsia="zh-CN"/>
              </w:rPr>
              <w:t>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关于改革国家机关工作人员病故一次性抚恤金发放办法的通知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〔1997〕</w:t>
            </w:r>
            <w:r>
              <w:rPr>
                <w:rFonts w:hint="default" w:ascii="仿宋_GB2312" w:hAnsi="仿宋_GB2312" w:eastAsia="仿宋_GB2312" w:cs="仿宋_GB2312"/>
                <w:sz w:val="24"/>
                <w:szCs w:val="24"/>
                <w:lang w:val="en-US" w:eastAsia="zh-CN"/>
              </w:rPr>
              <w:t>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关于征集高原条件兵和高等学校入伍工作的规定</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〔2001〕</w:t>
            </w:r>
            <w:r>
              <w:rPr>
                <w:rFonts w:hint="default" w:ascii="仿宋_GB2312" w:hAnsi="仿宋_GB2312" w:eastAsia="仿宋_GB2312" w:cs="仿宋_GB2312"/>
                <w:sz w:val="24"/>
                <w:szCs w:val="24"/>
                <w:lang w:val="en-US" w:eastAsia="zh-CN"/>
              </w:rPr>
              <w:t>130号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省民政厅、省财政厅关于制定全省省级以上烈士纪念设施维修改造五年规划的通知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〔2004〕</w:t>
            </w:r>
            <w:r>
              <w:rPr>
                <w:rFonts w:hint="default" w:ascii="仿宋_GB2312" w:hAnsi="仿宋_GB2312" w:eastAsia="仿宋_GB2312" w:cs="仿宋_GB2312"/>
                <w:sz w:val="24"/>
                <w:szCs w:val="24"/>
                <w:lang w:val="en-US" w:eastAsia="zh-CN"/>
              </w:rPr>
              <w:t>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省民政厅、省财政厅关于向在乡老红军战士发放慰问金的通知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〔2006〕</w:t>
            </w:r>
            <w:r>
              <w:rPr>
                <w:rFonts w:hint="default" w:ascii="仿宋_GB2312" w:hAnsi="仿宋_GB2312" w:eastAsia="仿宋_GB2312" w:cs="仿宋_GB2312"/>
                <w:sz w:val="24"/>
                <w:szCs w:val="24"/>
                <w:lang w:val="en-US" w:eastAsia="zh-CN"/>
              </w:rPr>
              <w:t>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省民政厅关于开展对部分军队退役人员调查摸底和身份认定工作的通知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〔2007〕</w:t>
            </w:r>
            <w:r>
              <w:rPr>
                <w:rFonts w:hint="default" w:ascii="仿宋_GB2312" w:hAnsi="仿宋_GB2312" w:eastAsia="仿宋_GB2312" w:cs="仿宋_GB2312"/>
                <w:sz w:val="24"/>
                <w:szCs w:val="24"/>
                <w:lang w:val="en-US" w:eastAsia="zh-CN"/>
              </w:rPr>
              <w:t>90号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-621030</wp:posOffset>
                      </wp:positionH>
                      <wp:positionV relativeFrom="paragraph">
                        <wp:posOffset>-366395</wp:posOffset>
                      </wp:positionV>
                      <wp:extent cx="487045" cy="6578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87045" cy="657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 xml:space="preserve"> 4 </w:t>
                                  </w:r>
                                  <w:r>
                                    <w:rPr>
                                      <w:rFonts w:hint="eastAsia" w:ascii="楷体_GB2312" w:hAnsi="楷体_GB2312" w:eastAsia="楷体_GB2312" w:cs="楷体_GB2312"/>
                                      <w:sz w:val="24"/>
                                      <w:szCs w:val="24"/>
                                      <w:lang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9pt;margin-top:-28.85pt;height:51.8pt;width:38.35pt;z-index:251659264;mso-width-relative:page;mso-height-relative:page;" filled="f" stroked="f" coordsize="21600,21600" o:gfxdata="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LR3toAAAAKAQAADwAAAAAAAAABACAAAAAiAAAA&#10;ZHJzL2Rvd25yZXYueG1sUEsBAhQAFAAAAAgAh07iQJ2RXDw+AgAAaQQAAA4AAAAAAAAAAQAgAAAA&#10;KQEAAGRycy9lMm9Eb2MueG1sUEsFBgAAAAAGAAYAWQEAANkFAAAAAA==&#10;">
                      <v:fill on="f" focussize="0,0"/>
                      <v:stroke on="f" weight="0.5pt"/>
                      <v:imagedata o:title=""/>
                      <o:lock v:ext="edit" aspectratio="f"/>
                      <v:textbox style="layout-flow:vertical-ideographic;">
                        <w:txbxContent>
                          <w:p>
                            <w:pP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 xml:space="preserve"> 4 </w:t>
                            </w:r>
                            <w:r>
                              <w:rPr>
                                <w:rFonts w:hint="eastAsia" w:ascii="楷体_GB2312" w:hAnsi="楷体_GB2312" w:eastAsia="楷体_GB2312" w:cs="楷体_GB2312"/>
                                <w:sz w:val="24"/>
                                <w:szCs w:val="24"/>
                                <w:lang w:eastAsia="zh-CN"/>
                              </w:rPr>
                              <w:t>—</w:t>
                            </w:r>
                          </w:p>
                        </w:txbxContent>
                      </v:textbox>
                    </v:shape>
                  </w:pict>
                </mc:Fallback>
              </mc:AlternateContent>
            </w:r>
            <w:r>
              <w:rPr>
                <w:rFonts w:hint="eastAsia" w:ascii="仿宋_GB2312" w:hAnsi="仿宋_GB2312" w:eastAsia="仿宋_GB2312" w:cs="仿宋_GB2312"/>
                <w:sz w:val="24"/>
                <w:szCs w:val="24"/>
                <w:lang w:val="en-US" w:eastAsia="zh-CN"/>
              </w:rPr>
              <w:t>21</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省民政厅关于进一步加强优抚经费使用管理工作的通知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〔2008〕</w:t>
            </w:r>
            <w:r>
              <w:rPr>
                <w:rFonts w:hint="default" w:ascii="仿宋_GB2312" w:hAnsi="仿宋_GB2312" w:eastAsia="仿宋_GB2312" w:cs="仿宋_GB2312"/>
                <w:sz w:val="24"/>
                <w:szCs w:val="24"/>
                <w:lang w:val="en-US" w:eastAsia="zh-CN"/>
              </w:rPr>
              <w:t>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省民政厅、省住建厅、省财政厅关于印发《关于深入贯彻落实省委十届十二次全会精神 加快重点优抚对象住房</w:t>
            </w:r>
            <w:bookmarkStart w:id="0" w:name="_GoBack"/>
            <w:bookmarkEnd w:id="0"/>
            <w:r>
              <w:rPr>
                <w:rFonts w:hint="default" w:ascii="仿宋_GB2312" w:hAnsi="仿宋_GB2312" w:eastAsia="仿宋_GB2312" w:cs="仿宋_GB2312"/>
                <w:sz w:val="24"/>
                <w:szCs w:val="24"/>
                <w:lang w:val="en-US" w:eastAsia="zh-CN"/>
              </w:rPr>
              <w:t>解困工作的实施意见》的通知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〔2010〕</w:t>
            </w:r>
            <w:r>
              <w:rPr>
                <w:rFonts w:hint="default" w:ascii="仿宋_GB2312" w:hAnsi="仿宋_GB2312" w:eastAsia="仿宋_GB2312" w:cs="仿宋_GB2312"/>
                <w:sz w:val="24"/>
                <w:szCs w:val="24"/>
                <w:lang w:val="en-US" w:eastAsia="zh-CN"/>
              </w:rPr>
              <w:t>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省民政厅、省财政厅关于印发《黑龙江省“安烈保护工程”实施方案》的通知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黑民优</w:t>
            </w:r>
            <w:r>
              <w:rPr>
                <w:rFonts w:hint="eastAsia" w:ascii="仿宋_GB2312" w:hAnsi="仿宋_GB2312" w:eastAsia="仿宋_GB2312" w:cs="仿宋_GB2312"/>
                <w:sz w:val="24"/>
                <w:szCs w:val="24"/>
                <w:lang w:val="en-US" w:eastAsia="zh-CN"/>
              </w:rPr>
              <w:t>〔2011〕</w:t>
            </w:r>
            <w:r>
              <w:rPr>
                <w:rFonts w:hint="default" w:ascii="仿宋_GB2312" w:hAnsi="仿宋_GB2312" w:eastAsia="仿宋_GB2312" w:cs="仿宋_GB2312"/>
                <w:sz w:val="24"/>
                <w:szCs w:val="24"/>
                <w:lang w:val="en-US" w:eastAsia="zh-CN"/>
              </w:rPr>
              <w:t>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省民政厅关于换发《黑龙江省优抚对象抚恤补助证》以及建立优抚对象电子档案的通知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黑民办函</w:t>
            </w:r>
            <w:r>
              <w:rPr>
                <w:rFonts w:hint="eastAsia" w:ascii="仿宋_GB2312" w:hAnsi="仿宋_GB2312" w:eastAsia="仿宋_GB2312" w:cs="仿宋_GB2312"/>
                <w:sz w:val="24"/>
                <w:szCs w:val="24"/>
                <w:lang w:val="en-US" w:eastAsia="zh-CN"/>
              </w:rPr>
              <w:t>〔2012〕</w:t>
            </w:r>
            <w:r>
              <w:rPr>
                <w:rFonts w:hint="default" w:ascii="仿宋_GB2312" w:hAnsi="仿宋_GB2312" w:eastAsia="仿宋_GB2312" w:cs="仿宋_GB2312"/>
                <w:sz w:val="24"/>
                <w:szCs w:val="24"/>
                <w:lang w:val="en-US" w:eastAsia="zh-CN"/>
              </w:rPr>
              <w:t>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84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left"/>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省民政厅、省军区司令部关于转发民政部总参谋部《关于应征入伍服义务兵役高校在校生优待问题的通知》的通知</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省</w:t>
            </w:r>
            <w:r>
              <w:rPr>
                <w:rFonts w:hint="default" w:ascii="仿宋_GB2312" w:hAnsi="仿宋_GB2312" w:eastAsia="仿宋_GB2312" w:cs="仿宋_GB2312"/>
                <w:sz w:val="24"/>
                <w:szCs w:val="24"/>
                <w:lang w:val="en-US" w:eastAsia="zh-CN"/>
              </w:rPr>
              <w:t>民政厅</w:t>
            </w:r>
          </w:p>
        </w:tc>
        <w:tc>
          <w:tcPr>
            <w:tcW w:w="285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25" w:leftChars="0"/>
              <w:jc w:val="center"/>
              <w:textAlignment w:val="auto"/>
              <w:outlineLvl w:val="9"/>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黑民发</w:t>
            </w:r>
            <w:r>
              <w:rPr>
                <w:rFonts w:hint="eastAsia" w:ascii="仿宋_GB2312" w:hAnsi="仿宋_GB2312" w:eastAsia="仿宋_GB2312" w:cs="仿宋_GB2312"/>
                <w:sz w:val="24"/>
                <w:szCs w:val="24"/>
                <w:lang w:val="en-US" w:eastAsia="zh-CN"/>
              </w:rPr>
              <w:t>〔2012〕</w:t>
            </w:r>
            <w:r>
              <w:rPr>
                <w:rFonts w:hint="default" w:ascii="仿宋_GB2312" w:hAnsi="仿宋_GB2312" w:eastAsia="仿宋_GB2312" w:cs="仿宋_GB2312"/>
                <w:sz w:val="24"/>
                <w:szCs w:val="24"/>
                <w:lang w:val="en-US" w:eastAsia="zh-CN"/>
              </w:rPr>
              <w:t>185号</w:t>
            </w:r>
          </w:p>
        </w:tc>
      </w:tr>
    </w:tbl>
    <w:p>
      <w:pPr>
        <w:keepNext w:val="0"/>
        <w:keepLines w:val="0"/>
        <w:pageBreakBefore w:val="0"/>
        <w:widowControl w:val="0"/>
        <w:kinsoku/>
        <w:wordWrap/>
        <w:overflowPunct/>
        <w:topLinePunct w:val="0"/>
        <w:autoSpaceDE/>
        <w:autoSpaceDN/>
        <w:bidi w:val="0"/>
        <w:adjustRightInd/>
        <w:snapToGrid/>
        <w:spacing w:after="157" w:afterLines="50" w:line="560" w:lineRule="exact"/>
        <w:jc w:val="both"/>
        <w:textAlignment w:val="auto"/>
        <w:outlineLvl w:val="9"/>
        <w:rPr>
          <w:rFonts w:hint="eastAsia" w:ascii="黑体" w:hAnsi="黑体" w:eastAsia="黑体" w:cs="黑体"/>
          <w:sz w:val="32"/>
          <w:szCs w:val="32"/>
          <w:lang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43438"/>
    <w:rsid w:val="6864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2021-08-10T08:44:00Z</dcterms:created>
  <dc:creator>Administrator</dc:creator>
  <cp:lastModifiedBy>Administrator</cp:lastModifiedBy>
  <dcterms:modified xsi:type="dcterms:W3CDTF">2021-08-10T08:44:33Z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